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3E60D528"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E1179C">
        <w:rPr>
          <w:b/>
          <w:sz w:val="24"/>
          <w:u w:val="single"/>
        </w:rPr>
        <w:t>APRIL</w:t>
      </w:r>
      <w:r>
        <w:rPr>
          <w:b/>
          <w:sz w:val="24"/>
          <w:u w:val="single"/>
        </w:rPr>
        <w:t xml:space="preserve"> 1</w:t>
      </w:r>
      <w:r w:rsidR="00B80905">
        <w:rPr>
          <w:b/>
          <w:sz w:val="24"/>
          <w:u w:val="single"/>
        </w:rPr>
        <w:t>5</w:t>
      </w:r>
      <w:r>
        <w:rPr>
          <w:b/>
          <w:sz w:val="24"/>
          <w:u w:val="single"/>
        </w:rPr>
        <w:t>,</w:t>
      </w:r>
      <w:r>
        <w:rPr>
          <w:b/>
          <w:spacing w:val="-8"/>
          <w:sz w:val="24"/>
          <w:u w:val="single"/>
        </w:rPr>
        <w:t xml:space="preserve"> </w:t>
      </w:r>
      <w:r>
        <w:rPr>
          <w:b/>
          <w:sz w:val="24"/>
          <w:u w:val="single"/>
        </w:rPr>
        <w:t>202</w:t>
      </w:r>
      <w:r w:rsidR="00B80905">
        <w:rPr>
          <w:b/>
          <w:sz w:val="24"/>
          <w:u w:val="single"/>
        </w:rPr>
        <w:t>3</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proofErr w:type="gramStart"/>
            <w:r>
              <w:rPr>
                <w:sz w:val="20"/>
              </w:rPr>
              <w:t>feet</w:t>
            </w:r>
            <w:proofErr w:type="gramEnd"/>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proofErr w:type="spellStart"/>
            <w:r>
              <w:rPr>
                <w:position w:val="7"/>
                <w:sz w:val="13"/>
              </w:rPr>
              <w:t>th</w:t>
            </w:r>
            <w:proofErr w:type="spellEnd"/>
            <w:r>
              <w:rPr>
                <w:position w:val="7"/>
                <w:sz w:val="13"/>
              </w:rPr>
              <w:t xml:space="preserve"> </w:t>
            </w:r>
            <w:r>
              <w:rPr>
                <w:sz w:val="20"/>
              </w:rPr>
              <w:t>Street near</w:t>
            </w:r>
            <w:r>
              <w:rPr>
                <w:spacing w:val="8"/>
                <w:sz w:val="20"/>
              </w:rPr>
              <w:t xml:space="preserve"> </w:t>
            </w:r>
            <w:proofErr w:type="spellStart"/>
            <w:r>
              <w:rPr>
                <w:sz w:val="20"/>
              </w:rPr>
              <w:t>MacCorkle</w:t>
            </w:r>
            <w:proofErr w:type="spellEnd"/>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proofErr w:type="gramStart"/>
            <w:r>
              <w:rPr>
                <w:b/>
                <w:sz w:val="20"/>
              </w:rPr>
              <w:t>two</w:t>
            </w:r>
            <w:proofErr w:type="gramEnd"/>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proofErr w:type="gramStart"/>
            <w:r>
              <w:t>feet</w:t>
            </w:r>
            <w:proofErr w:type="gramEnd"/>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proofErr w:type="spellStart"/>
            <w:r>
              <w:rPr>
                <w:position w:val="7"/>
                <w:sz w:val="13"/>
              </w:rPr>
              <w:t>th</w:t>
            </w:r>
            <w:proofErr w:type="spellEnd"/>
            <w:r>
              <w:rPr>
                <w:position w:val="7"/>
                <w:sz w:val="13"/>
              </w:rPr>
              <w:t xml:space="preserve"> </w:t>
            </w:r>
            <w:r>
              <w:rPr>
                <w:sz w:val="20"/>
              </w:rPr>
              <w:t>Street near</w:t>
            </w:r>
            <w:r>
              <w:rPr>
                <w:spacing w:val="8"/>
                <w:sz w:val="20"/>
              </w:rPr>
              <w:t xml:space="preserve"> </w:t>
            </w:r>
            <w:proofErr w:type="spellStart"/>
            <w:r>
              <w:rPr>
                <w:sz w:val="20"/>
              </w:rPr>
              <w:t>MacCorkle</w:t>
            </w:r>
            <w:proofErr w:type="spellEnd"/>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 xml:space="preserve">Do you want the banner returned after the takedown date? If </w:t>
            </w:r>
            <w:proofErr w:type="gramStart"/>
            <w:r>
              <w:rPr>
                <w:sz w:val="20"/>
              </w:rPr>
              <w:t>no</w:t>
            </w:r>
            <w:proofErr w:type="gramEnd"/>
            <w:r>
              <w:rPr>
                <w:sz w:val="20"/>
              </w:rPr>
              <w:t>,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1BCEF5A7" w14:textId="77777777" w:rsidR="00C32EE7" w:rsidRPr="00C32EE7" w:rsidRDefault="00073799" w:rsidP="00C32EE7">
      <w:pPr>
        <w:pStyle w:val="BodyText"/>
        <w:spacing w:before="1"/>
        <w:ind w:right="204"/>
        <w:rPr>
          <w:b/>
          <w:bCs/>
        </w:rPr>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r w:rsidR="00C32EE7">
        <w:t xml:space="preserve"> </w:t>
      </w:r>
      <w:r w:rsidR="00C32EE7" w:rsidRPr="00C32EE7">
        <w:rPr>
          <w:b/>
          <w:bCs/>
        </w:rPr>
        <w:t>By signing below, you agree that you have read and understand the requirements and specifications for banners and the City’s ability to reject any banners that do not meet these requirements.</w:t>
      </w:r>
    </w:p>
    <w:p w14:paraId="1CEE6B4A" w14:textId="77777777" w:rsidR="00C32EE7" w:rsidRDefault="00C32EE7">
      <w:pPr>
        <w:spacing w:line="193" w:lineRule="exact"/>
        <w:ind w:left="227"/>
        <w:rPr>
          <w:sz w:val="16"/>
        </w:rPr>
      </w:pPr>
    </w:p>
    <w:p w14:paraId="6EE01A19" w14:textId="4CA97B5D"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4675A3F5" w14:textId="77777777" w:rsidR="009015A8" w:rsidRDefault="00073799" w:rsidP="009015A8">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9015A8">
        <w:rPr>
          <w:spacing w:val="-4"/>
          <w:sz w:val="20"/>
        </w:rPr>
        <w:t xml:space="preserve">Up to three (3) non-political </w:t>
      </w:r>
      <w:r w:rsidR="009015A8">
        <w:rPr>
          <w:sz w:val="20"/>
        </w:rPr>
        <w:t>Sponsor</w:t>
      </w:r>
      <w:r w:rsidR="009015A8">
        <w:rPr>
          <w:spacing w:val="-3"/>
          <w:sz w:val="20"/>
        </w:rPr>
        <w:t xml:space="preserve"> </w:t>
      </w:r>
      <w:r w:rsidR="009015A8">
        <w:rPr>
          <w:sz w:val="20"/>
        </w:rPr>
        <w:t>logos</w:t>
      </w:r>
      <w:r w:rsidR="009015A8">
        <w:rPr>
          <w:spacing w:val="-4"/>
          <w:sz w:val="20"/>
        </w:rPr>
        <w:t xml:space="preserve"> </w:t>
      </w:r>
      <w:r w:rsidR="009015A8">
        <w:rPr>
          <w:sz w:val="20"/>
        </w:rPr>
        <w:t>or</w:t>
      </w:r>
      <w:r w:rsidR="009015A8">
        <w:rPr>
          <w:spacing w:val="-4"/>
          <w:sz w:val="20"/>
        </w:rPr>
        <w:t xml:space="preserve"> </w:t>
      </w:r>
      <w:r w:rsidR="009015A8">
        <w:rPr>
          <w:sz w:val="20"/>
        </w:rPr>
        <w:t>names</w:t>
      </w:r>
      <w:r w:rsidR="009015A8">
        <w:rPr>
          <w:spacing w:val="-3"/>
          <w:sz w:val="20"/>
        </w:rPr>
        <w:t xml:space="preserve"> </w:t>
      </w:r>
      <w:r w:rsidR="009015A8">
        <w:rPr>
          <w:sz w:val="20"/>
        </w:rPr>
        <w:t>are</w:t>
      </w:r>
      <w:r w:rsidR="009015A8">
        <w:rPr>
          <w:spacing w:val="-4"/>
          <w:sz w:val="20"/>
        </w:rPr>
        <w:t xml:space="preserve"> </w:t>
      </w:r>
      <w:r w:rsidR="009015A8">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proofErr w:type="gramStart"/>
      <w:r>
        <w:rPr>
          <w:sz w:val="20"/>
        </w:rPr>
        <w:t>size</w:t>
      </w:r>
      <w:proofErr w:type="gramEnd"/>
    </w:p>
    <w:p w14:paraId="4045554B" w14:textId="77777777" w:rsidR="00122F9D" w:rsidRDefault="00073799">
      <w:pPr>
        <w:pStyle w:val="BodyText"/>
        <w:spacing w:line="243" w:lineRule="exact"/>
        <w:ind w:left="929" w:right="7919"/>
        <w:jc w:val="center"/>
      </w:pPr>
      <w:r>
        <w:t>of 250 point or 2 ½”.</w:t>
      </w:r>
    </w:p>
    <w:p w14:paraId="3EE5F5D6" w14:textId="610CC9C8"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73A82F85"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proofErr w:type="gramStart"/>
      <w:r w:rsidR="00073799">
        <w:rPr>
          <w:sz w:val="20"/>
        </w:rPr>
        <w:t>maximizes</w:t>
      </w:r>
      <w:proofErr w:type="gramEnd"/>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 all banners must be 3</w:t>
      </w:r>
      <w:r w:rsidR="003847B3">
        <w:rPr>
          <w:sz w:val="20"/>
        </w:rPr>
        <w:t>6</w:t>
      </w:r>
      <w:r w:rsidR="00073799">
        <w:rPr>
          <w:sz w:val="20"/>
        </w:rPr>
        <w:t xml:space="preserve"> feet long by 3 feet high and it is recommended that the copy be printed on both sides of the banner. Banners assigned to </w:t>
      </w:r>
      <w:r>
        <w:rPr>
          <w:sz w:val="20"/>
        </w:rPr>
        <w:t>Ruffner/</w:t>
      </w:r>
      <w:r w:rsidR="00073799">
        <w:rPr>
          <w:sz w:val="20"/>
        </w:rPr>
        <w:t>Washington Street East and 35</w:t>
      </w:r>
      <w:proofErr w:type="spellStart"/>
      <w:r w:rsidR="00073799">
        <w:rPr>
          <w:position w:val="7"/>
          <w:sz w:val="13"/>
        </w:rPr>
        <w:t>th</w:t>
      </w:r>
      <w:proofErr w:type="spellEnd"/>
      <w:r w:rsidR="00073799">
        <w:rPr>
          <w:position w:val="7"/>
          <w:sz w:val="13"/>
        </w:rPr>
        <w:t xml:space="preserve">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0196BAD2"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t>
      </w:r>
      <w:proofErr w:type="gramStart"/>
      <w:r w:rsidR="0015716E">
        <w:rPr>
          <w:b/>
          <w:bCs/>
          <w:sz w:val="28"/>
          <w:szCs w:val="28"/>
        </w:rPr>
        <w:t>weather</w:t>
      </w:r>
      <w:bookmarkStart w:id="0" w:name="_Hlk139529824"/>
      <w:proofErr w:type="gramEnd"/>
    </w:p>
    <w:bookmarkEnd w:id="0"/>
    <w:p w14:paraId="5F1AA387" w14:textId="77777777" w:rsidR="00B57843" w:rsidRDefault="00B57843" w:rsidP="00920FA6">
      <w:pPr>
        <w:tabs>
          <w:tab w:val="left" w:pos="948"/>
          <w:tab w:val="left" w:pos="949"/>
        </w:tabs>
        <w:spacing w:line="237" w:lineRule="auto"/>
        <w:ind w:left="227" w:right="224"/>
        <w:rPr>
          <w:b/>
          <w:bCs/>
          <w:sz w:val="28"/>
          <w:szCs w:val="28"/>
        </w:rPr>
      </w:pP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577D45" w:rsidRDefault="00073799">
      <w:pPr>
        <w:ind w:left="227"/>
        <w:rPr>
          <w:b/>
          <w:sz w:val="20"/>
        </w:rPr>
      </w:pPr>
      <w:r w:rsidRPr="00577D45">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577D45">
        <w:rPr>
          <w:b/>
          <w:sz w:val="20"/>
        </w:rPr>
        <w:t>“If the reserved banner space is not cancelled a minimum of 45 days prior to the first scheduled day of the reservation</w:t>
      </w:r>
      <w:r w:rsidR="00577D45" w:rsidRPr="00577D45">
        <w:rPr>
          <w:b/>
          <w:sz w:val="20"/>
        </w:rPr>
        <w:t>,</w:t>
      </w:r>
      <w:r w:rsidRPr="00577D45">
        <w:rPr>
          <w:b/>
          <w:sz w:val="20"/>
        </w:rPr>
        <w:t xml:space="preserve"> the</w:t>
      </w:r>
    </w:p>
    <w:p w14:paraId="57CB7596" w14:textId="1B1D7ED4" w:rsidR="00122F9D" w:rsidRDefault="00073799">
      <w:pPr>
        <w:ind w:left="227"/>
        <w:rPr>
          <w:b/>
          <w:sz w:val="20"/>
        </w:rPr>
      </w:pPr>
      <w:r w:rsidRPr="00E967BE">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E967BE" w:rsidRPr="00E967BE">
        <w:rPr>
          <w:b/>
          <w:bCs/>
          <w:noProof/>
        </w:rPr>
        <w:t>City</w:t>
      </w:r>
      <w:r w:rsidRPr="00577D45">
        <w:rPr>
          <w:b/>
          <w:sz w:val="20"/>
        </w:rPr>
        <w:t xml:space="preserve"> reserves the right to revoke all banner privileges for the next 12 months</w:t>
      </w:r>
      <w:r>
        <w:rPr>
          <w:b/>
          <w:sz w:val="20"/>
        </w:rPr>
        <w:t>.”</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w:t>
      </w:r>
      <w:proofErr w:type="gramStart"/>
      <w:r>
        <w:t>install</w:t>
      </w:r>
      <w:proofErr w:type="gramEnd"/>
      <w:r>
        <w:t xml:space="preserve">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w:t>
      </w:r>
      <w:proofErr w:type="spellStart"/>
      <w:r>
        <w:t>FestivALL</w:t>
      </w:r>
      <w:proofErr w:type="spellEnd"/>
      <w:r>
        <w:t xml:space="preserve">,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3AF11B69" w:rsidR="00122F9D" w:rsidRDefault="00073799">
      <w:pPr>
        <w:spacing w:before="1"/>
        <w:ind w:left="948"/>
        <w:rPr>
          <w:sz w:val="18"/>
        </w:rPr>
      </w:pPr>
      <w:r>
        <w:rPr>
          <w:sz w:val="18"/>
        </w:rPr>
        <w:t>501 Virginia Street, E. Rm</w:t>
      </w:r>
      <w:r>
        <w:rPr>
          <w:spacing w:val="-9"/>
          <w:sz w:val="18"/>
        </w:rPr>
        <w:t xml:space="preserve"> </w:t>
      </w:r>
      <w:r>
        <w:rPr>
          <w:sz w:val="18"/>
        </w:rPr>
        <w:t>303</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463F" w14:textId="77777777" w:rsidR="007B003C" w:rsidRDefault="007B003C">
      <w:r>
        <w:separator/>
      </w:r>
    </w:p>
  </w:endnote>
  <w:endnote w:type="continuationSeparator" w:id="0">
    <w:p w14:paraId="1501EEF0" w14:textId="77777777" w:rsidR="007B003C" w:rsidRDefault="007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3C53" w14:textId="77777777" w:rsidR="007B003C" w:rsidRDefault="007B003C">
      <w:r>
        <w:separator/>
      </w:r>
    </w:p>
  </w:footnote>
  <w:footnote w:type="continuationSeparator" w:id="0">
    <w:p w14:paraId="739D2361" w14:textId="77777777" w:rsidR="007B003C" w:rsidRDefault="007B0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73799"/>
    <w:rsid w:val="00082E06"/>
    <w:rsid w:val="00122F9D"/>
    <w:rsid w:val="00153365"/>
    <w:rsid w:val="0015716E"/>
    <w:rsid w:val="001D5FC3"/>
    <w:rsid w:val="002026C2"/>
    <w:rsid w:val="00220460"/>
    <w:rsid w:val="00263041"/>
    <w:rsid w:val="00277C08"/>
    <w:rsid w:val="002A35E9"/>
    <w:rsid w:val="002C59B1"/>
    <w:rsid w:val="00301D79"/>
    <w:rsid w:val="003847B3"/>
    <w:rsid w:val="003B326D"/>
    <w:rsid w:val="003C20A6"/>
    <w:rsid w:val="004D04B7"/>
    <w:rsid w:val="00504F2B"/>
    <w:rsid w:val="0052616C"/>
    <w:rsid w:val="00577D45"/>
    <w:rsid w:val="00590729"/>
    <w:rsid w:val="006459C4"/>
    <w:rsid w:val="00734DE5"/>
    <w:rsid w:val="007742F7"/>
    <w:rsid w:val="007B003C"/>
    <w:rsid w:val="007B7AAC"/>
    <w:rsid w:val="007C6D57"/>
    <w:rsid w:val="00840CB2"/>
    <w:rsid w:val="00876AE7"/>
    <w:rsid w:val="008D0698"/>
    <w:rsid w:val="009015A8"/>
    <w:rsid w:val="00903BA7"/>
    <w:rsid w:val="00920FA6"/>
    <w:rsid w:val="009970C1"/>
    <w:rsid w:val="009B286F"/>
    <w:rsid w:val="009D0289"/>
    <w:rsid w:val="00A11D2E"/>
    <w:rsid w:val="00A304D5"/>
    <w:rsid w:val="00A81936"/>
    <w:rsid w:val="00AB0AF9"/>
    <w:rsid w:val="00AB0CBD"/>
    <w:rsid w:val="00AB486B"/>
    <w:rsid w:val="00AC4E3C"/>
    <w:rsid w:val="00AD182D"/>
    <w:rsid w:val="00AE059C"/>
    <w:rsid w:val="00AF500C"/>
    <w:rsid w:val="00B00142"/>
    <w:rsid w:val="00B57843"/>
    <w:rsid w:val="00B80905"/>
    <w:rsid w:val="00C32EE7"/>
    <w:rsid w:val="00C62065"/>
    <w:rsid w:val="00D43182"/>
    <w:rsid w:val="00D64610"/>
    <w:rsid w:val="00E1179C"/>
    <w:rsid w:val="00E21B8A"/>
    <w:rsid w:val="00E30EC7"/>
    <w:rsid w:val="00E50723"/>
    <w:rsid w:val="00E850F7"/>
    <w:rsid w:val="00E967BE"/>
    <w:rsid w:val="00EC00DB"/>
    <w:rsid w:val="00EE76DA"/>
    <w:rsid w:val="00F069DE"/>
    <w:rsid w:val="00F17BEA"/>
    <w:rsid w:val="00FA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8</cp:revision>
  <dcterms:created xsi:type="dcterms:W3CDTF">2022-05-18T19:31:00Z</dcterms:created>
  <dcterms:modified xsi:type="dcterms:W3CDTF">2023-07-06T13:58:00Z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