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AA" w:rsidRPr="009841E2" w:rsidRDefault="009918DF">
      <w:pPr>
        <w:widowControl w:val="0"/>
        <w:rPr>
          <w:u w:val="single"/>
        </w:rPr>
      </w:pPr>
      <w:r>
        <w:rPr>
          <w:b/>
          <w:u w:val="single"/>
        </w:rPr>
        <w:t xml:space="preserve">City of Charleston </w:t>
      </w:r>
      <w:r w:rsidR="007F308D" w:rsidRPr="009841E2">
        <w:rPr>
          <w:b/>
          <w:u w:val="single"/>
        </w:rPr>
        <w:t xml:space="preserve">Recycling </w:t>
      </w:r>
      <w:r w:rsidR="001829AA" w:rsidRPr="009841E2">
        <w:rPr>
          <w:b/>
          <w:u w:val="single"/>
        </w:rPr>
        <w:t xml:space="preserve">FAQ </w:t>
      </w:r>
    </w:p>
    <w:p w:rsidR="007F308D" w:rsidRDefault="007F308D">
      <w:pPr>
        <w:widowControl w:val="0"/>
      </w:pPr>
    </w:p>
    <w:p w:rsidR="007F308D" w:rsidRDefault="007F308D">
      <w:pPr>
        <w:widowControl w:val="0"/>
      </w:pPr>
    </w:p>
    <w:p w:rsidR="007F308D" w:rsidRDefault="001829AA">
      <w:pPr>
        <w:widowControl w:val="0"/>
      </w:pPr>
      <w:r>
        <w:rPr>
          <w:b/>
        </w:rPr>
        <w:t xml:space="preserve">What </w:t>
      </w:r>
      <w:r w:rsidR="007F308D">
        <w:rPr>
          <w:b/>
        </w:rPr>
        <w:t xml:space="preserve">has </w:t>
      </w:r>
      <w:r>
        <w:rPr>
          <w:b/>
        </w:rPr>
        <w:t>changed</w:t>
      </w:r>
      <w:r w:rsidR="007F308D">
        <w:rPr>
          <w:b/>
        </w:rPr>
        <w:t xml:space="preserve"> about the City of Charleston’s recycling program</w:t>
      </w:r>
      <w:r>
        <w:rPr>
          <w:b/>
        </w:rPr>
        <w:t>?</w:t>
      </w:r>
      <w:r>
        <w:t xml:space="preserve">  </w:t>
      </w:r>
    </w:p>
    <w:p w:rsidR="001829AA" w:rsidRDefault="001829AA" w:rsidP="007F308D">
      <w:pPr>
        <w:widowControl w:val="0"/>
        <w:ind w:left="720"/>
      </w:pPr>
      <w:r>
        <w:t>Recyclin</w:t>
      </w:r>
      <w:r w:rsidR="009841E2">
        <w:t>g pickup was previously limited</w:t>
      </w:r>
      <w:r w:rsidR="007F308D">
        <w:t xml:space="preserve"> </w:t>
      </w:r>
      <w:r>
        <w:t>to clear bags only.  Now you can use bins, cans, or carts if clearly marked as recycling</w:t>
      </w:r>
      <w:r w:rsidR="00E413E2">
        <w:t xml:space="preserve"> – in addition to clear plastic bags. </w:t>
      </w:r>
      <w:bookmarkStart w:id="0" w:name="_GoBack"/>
      <w:bookmarkEnd w:id="0"/>
    </w:p>
    <w:p w:rsidR="001829AA" w:rsidRDefault="001829AA">
      <w:pPr>
        <w:widowControl w:val="0"/>
      </w:pPr>
    </w:p>
    <w:p w:rsidR="007F308D" w:rsidRDefault="001829AA">
      <w:pPr>
        <w:widowControl w:val="0"/>
      </w:pPr>
      <w:r>
        <w:rPr>
          <w:b/>
        </w:rPr>
        <w:t xml:space="preserve">What </w:t>
      </w:r>
      <w:r w:rsidR="007F308D">
        <w:rPr>
          <w:b/>
        </w:rPr>
        <w:t xml:space="preserve">parts of the City of Charleston’s recycling program </w:t>
      </w:r>
      <w:r>
        <w:rPr>
          <w:b/>
        </w:rPr>
        <w:t>stayed the same?</w:t>
      </w:r>
      <w:r>
        <w:t xml:space="preserve"> </w:t>
      </w:r>
    </w:p>
    <w:p w:rsidR="001829AA" w:rsidRDefault="007F308D" w:rsidP="007F308D">
      <w:pPr>
        <w:widowControl w:val="0"/>
        <w:ind w:left="720"/>
      </w:pPr>
      <w:r>
        <w:t>The City will still</w:t>
      </w:r>
      <w:r w:rsidR="001829AA">
        <w:t xml:space="preserve"> take the same materials</w:t>
      </w:r>
      <w:r>
        <w:t xml:space="preserve"> and they can be mixed</w:t>
      </w:r>
      <w:r w:rsidR="001829AA">
        <w:t>. Paper and cardboard</w:t>
      </w:r>
      <w:r>
        <w:t xml:space="preserve"> recycling</w:t>
      </w:r>
      <w:r w:rsidR="001829AA">
        <w:t xml:space="preserve"> must be kept dry.  </w:t>
      </w:r>
    </w:p>
    <w:p w:rsidR="001829AA" w:rsidRDefault="001829AA">
      <w:pPr>
        <w:widowControl w:val="0"/>
      </w:pPr>
    </w:p>
    <w:p w:rsidR="007F308D" w:rsidRDefault="001829AA">
      <w:pPr>
        <w:widowControl w:val="0"/>
      </w:pPr>
      <w:r>
        <w:rPr>
          <w:b/>
        </w:rPr>
        <w:t xml:space="preserve">What kind of bins or cans </w:t>
      </w:r>
      <w:r w:rsidR="007F308D">
        <w:rPr>
          <w:b/>
        </w:rPr>
        <w:t>are acceptable</w:t>
      </w:r>
      <w:r>
        <w:rPr>
          <w:b/>
        </w:rPr>
        <w:t>?</w:t>
      </w:r>
      <w:r>
        <w:t xml:space="preserve">  </w:t>
      </w:r>
    </w:p>
    <w:p w:rsidR="007F308D" w:rsidRPr="007F308D" w:rsidRDefault="007F308D" w:rsidP="007F308D">
      <w:pPr>
        <w:pStyle w:val="Default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</w:pP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C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ontainer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s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 xml:space="preserve"> that 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are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 xml:space="preserve"> no larger than 48 gallons in volume, no heavier than 40 pounds when full, and clearly marked as containing recyclables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 xml:space="preserve"> can be used</w:t>
      </w:r>
      <w:r w:rsidRPr="007F308D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Containers that contain paper or cardboard must have a lid to keep the materials dry.</w:t>
      </w:r>
    </w:p>
    <w:p w:rsidR="007F308D" w:rsidRDefault="007F308D">
      <w:pPr>
        <w:widowControl w:val="0"/>
      </w:pPr>
    </w:p>
    <w:p w:rsidR="007F308D" w:rsidRDefault="001829AA">
      <w:pPr>
        <w:widowControl w:val="0"/>
      </w:pPr>
      <w:r>
        <w:rPr>
          <w:b/>
        </w:rPr>
        <w:t>What can I recycle at the curb?</w:t>
      </w:r>
      <w:r>
        <w:t xml:space="preserve">  </w:t>
      </w:r>
    </w:p>
    <w:p w:rsidR="001829AA" w:rsidRDefault="001829AA" w:rsidP="007F308D">
      <w:pPr>
        <w:widowControl w:val="0"/>
        <w:ind w:left="720"/>
      </w:pPr>
      <w:r>
        <w:t>The City takes Plastics #1 and #2 (beverage bottles, milk jugs), metal cans (aluminum beverage cans or steel soup/food cans), mixed paper (newspaper, office paper, junk mail), and cardboard.</w:t>
      </w:r>
    </w:p>
    <w:p w:rsidR="001829AA" w:rsidRDefault="001829AA">
      <w:pPr>
        <w:widowControl w:val="0"/>
      </w:pPr>
    </w:p>
    <w:p w:rsidR="007F308D" w:rsidRDefault="001829AA">
      <w:pPr>
        <w:widowControl w:val="0"/>
        <w:rPr>
          <w:b/>
        </w:rPr>
      </w:pPr>
      <w:r>
        <w:rPr>
          <w:b/>
        </w:rPr>
        <w:t xml:space="preserve">Where can I </w:t>
      </w:r>
      <w:r w:rsidR="009841E2">
        <w:rPr>
          <w:b/>
        </w:rPr>
        <w:t>buy</w:t>
      </w:r>
      <w:r>
        <w:rPr>
          <w:b/>
        </w:rPr>
        <w:t xml:space="preserve"> </w:t>
      </w:r>
      <w:r w:rsidR="007F308D">
        <w:rPr>
          <w:b/>
        </w:rPr>
        <w:t xml:space="preserve">clear plastic </w:t>
      </w:r>
      <w:r>
        <w:rPr>
          <w:b/>
        </w:rPr>
        <w:t>bags</w:t>
      </w:r>
      <w:r w:rsidR="007F308D">
        <w:rPr>
          <w:b/>
        </w:rPr>
        <w:t>?</w:t>
      </w:r>
      <w:r>
        <w:rPr>
          <w:b/>
        </w:rPr>
        <w:t xml:space="preserve"> </w:t>
      </w:r>
    </w:p>
    <w:p w:rsidR="001829AA" w:rsidRDefault="001829AA" w:rsidP="007F308D">
      <w:pPr>
        <w:widowControl w:val="0"/>
        <w:ind w:left="720"/>
      </w:pPr>
      <w:r>
        <w:t xml:space="preserve">Clear bags are for sale at Piggly Wiggly in Kanawha City, Pyle Hardware on the West Side, </w:t>
      </w:r>
      <w:proofErr w:type="spellStart"/>
      <w:r>
        <w:t>Zegeer</w:t>
      </w:r>
      <w:proofErr w:type="spellEnd"/>
      <w:r>
        <w:t xml:space="preserve"> Hardware on the East End, Lowe's </w:t>
      </w:r>
      <w:r w:rsidR="007F308D">
        <w:t>in Kanawha City and Southridge</w:t>
      </w:r>
      <w:r>
        <w:t xml:space="preserve"> and Home Depot</w:t>
      </w:r>
      <w:r w:rsidR="007F308D">
        <w:t xml:space="preserve"> in Southridge</w:t>
      </w:r>
      <w:r>
        <w:t>.</w:t>
      </w:r>
      <w:r w:rsidR="007F308D">
        <w:t xml:space="preserve"> Other local vendors may also be carrying clear plastic bags.</w:t>
      </w:r>
    </w:p>
    <w:p w:rsidR="007F308D" w:rsidRPr="007F308D" w:rsidRDefault="007F308D">
      <w:pPr>
        <w:widowControl w:val="0"/>
        <w:rPr>
          <w:b/>
        </w:rPr>
      </w:pPr>
    </w:p>
    <w:p w:rsidR="007F308D" w:rsidRPr="007F308D" w:rsidRDefault="007F308D">
      <w:pPr>
        <w:widowControl w:val="0"/>
        <w:rPr>
          <w:b/>
        </w:rPr>
      </w:pPr>
      <w:r w:rsidRPr="007F308D">
        <w:rPr>
          <w:b/>
        </w:rPr>
        <w:t>Where can I buy bins?</w:t>
      </w:r>
    </w:p>
    <w:p w:rsidR="001829AA" w:rsidRDefault="007F308D" w:rsidP="007F308D">
      <w:pPr>
        <w:widowControl w:val="0"/>
        <w:ind w:left="720"/>
      </w:pPr>
      <w:r>
        <w:t xml:space="preserve">Bins can be purchased at several local retailers including Lowe’s, Home Depot, </w:t>
      </w:r>
      <w:proofErr w:type="spellStart"/>
      <w:r>
        <w:t>Zegeer</w:t>
      </w:r>
      <w:proofErr w:type="spellEnd"/>
      <w:r>
        <w:t xml:space="preserve"> Hardware and more. </w:t>
      </w:r>
    </w:p>
    <w:p w:rsidR="007F308D" w:rsidRDefault="007F308D">
      <w:pPr>
        <w:widowControl w:val="0"/>
      </w:pPr>
    </w:p>
    <w:p w:rsidR="001829AA" w:rsidRDefault="007F308D">
      <w:pPr>
        <w:widowControl w:val="0"/>
      </w:pPr>
      <w:r>
        <w:rPr>
          <w:b/>
        </w:rPr>
        <w:t>Can I use the containers below</w:t>
      </w:r>
      <w:r w:rsidR="001829AA">
        <w:rPr>
          <w:b/>
        </w:rPr>
        <w:t>?</w:t>
      </w:r>
      <w:r w:rsidR="001829AA">
        <w:t xml:space="preserve">  YES!</w:t>
      </w:r>
      <w:r w:rsidR="001829AA">
        <w:tab/>
      </w:r>
      <w:r w:rsidR="001829AA">
        <w:tab/>
      </w:r>
      <w:r w:rsidR="001829AA">
        <w:tab/>
      </w:r>
    </w:p>
    <w:p w:rsidR="001829AA" w:rsidRDefault="001829AA">
      <w:pPr>
        <w:widowControl w:val="0"/>
      </w:pPr>
    </w:p>
    <w:p w:rsidR="001829AA" w:rsidRDefault="001829AA">
      <w:pPr>
        <w:widowControl w:val="0"/>
        <w:tabs>
          <w:tab w:val="right" w:pos="9359"/>
        </w:tabs>
      </w:pPr>
      <w:r>
        <w:tab/>
      </w:r>
    </w:p>
    <w:p w:rsidR="001829AA" w:rsidRDefault="009841E2">
      <w:pPr>
        <w:widowControl w:val="0"/>
      </w:pPr>
      <w:r>
        <w:rPr>
          <w:noProof/>
        </w:rPr>
        <w:drawing>
          <wp:anchor distT="57150" distB="57150" distL="57150" distR="57150" simplePos="0" relativeHeight="251661312" behindDoc="0" locked="0" layoutInCell="0" allowOverlap="1">
            <wp:simplePos x="0" y="0"/>
            <wp:positionH relativeFrom="margin">
              <wp:posOffset>-49530</wp:posOffset>
            </wp:positionH>
            <wp:positionV relativeFrom="page">
              <wp:posOffset>6827520</wp:posOffset>
            </wp:positionV>
            <wp:extent cx="1205230" cy="11360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58240" behindDoc="0" locked="0" layoutInCell="0" allowOverlap="1">
            <wp:simplePos x="0" y="0"/>
            <wp:positionH relativeFrom="margin">
              <wp:posOffset>3272155</wp:posOffset>
            </wp:positionH>
            <wp:positionV relativeFrom="paragraph">
              <wp:posOffset>72390</wp:posOffset>
            </wp:positionV>
            <wp:extent cx="1317625" cy="13119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0" allowOverlap="1">
            <wp:simplePos x="0" y="0"/>
            <wp:positionH relativeFrom="margin">
              <wp:posOffset>4866005</wp:posOffset>
            </wp:positionH>
            <wp:positionV relativeFrom="paragraph">
              <wp:posOffset>72390</wp:posOffset>
            </wp:positionV>
            <wp:extent cx="1088390" cy="1258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9AA" w:rsidRDefault="009841E2">
      <w:pPr>
        <w:widowControl w:val="0"/>
      </w:pPr>
      <w:r>
        <w:rPr>
          <w:noProof/>
        </w:rPr>
        <w:drawing>
          <wp:anchor distT="57150" distB="57150" distL="57150" distR="57150" simplePos="0" relativeHeight="251660288" behindDoc="0" locked="0" layoutInCell="0" allowOverlap="1">
            <wp:simplePos x="0" y="0"/>
            <wp:positionH relativeFrom="margin">
              <wp:posOffset>1645920</wp:posOffset>
            </wp:positionH>
            <wp:positionV relativeFrom="paragraph">
              <wp:posOffset>157480</wp:posOffset>
            </wp:positionV>
            <wp:extent cx="1210945" cy="933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9AA" w:rsidRDefault="001829AA" w:rsidP="009841E2">
      <w:pPr>
        <w:widowControl w:val="0"/>
      </w:pPr>
    </w:p>
    <w:p w:rsidR="001829AA" w:rsidRDefault="001829AA">
      <w:pPr>
        <w:widowControl w:val="0"/>
      </w:pPr>
    </w:p>
    <w:sectPr w:rsidR="001829AA" w:rsidSect="001829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6063"/>
    <w:multiLevelType w:val="hybridMultilevel"/>
    <w:tmpl w:val="259AD528"/>
    <w:styleLink w:val="BulletBig"/>
    <w:lvl w:ilvl="0" w:tplc="153C0BD4">
      <w:start w:val="1"/>
      <w:numFmt w:val="bullet"/>
      <w:lvlText w:val="•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5E62A8A">
      <w:start w:val="1"/>
      <w:numFmt w:val="bullet"/>
      <w:lvlText w:val="•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C0866B8">
      <w:start w:val="1"/>
      <w:numFmt w:val="bullet"/>
      <w:lvlText w:val="•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8087B4">
      <w:start w:val="1"/>
      <w:numFmt w:val="bullet"/>
      <w:lvlText w:val="•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840AF8">
      <w:start w:val="1"/>
      <w:numFmt w:val="bullet"/>
      <w:lvlText w:val="•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83AD9BE">
      <w:start w:val="1"/>
      <w:numFmt w:val="bullet"/>
      <w:lvlText w:val="•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08E8B0">
      <w:start w:val="1"/>
      <w:numFmt w:val="bullet"/>
      <w:lvlText w:val="•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A922040">
      <w:start w:val="1"/>
      <w:numFmt w:val="bullet"/>
      <w:lvlText w:val="•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6A274A6">
      <w:start w:val="1"/>
      <w:numFmt w:val="bullet"/>
      <w:lvlText w:val="•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8431178"/>
    <w:multiLevelType w:val="hybridMultilevel"/>
    <w:tmpl w:val="259AD528"/>
    <w:numStyleLink w:val="BulletBig"/>
  </w:abstractNum>
  <w:num w:numId="1">
    <w:abstractNumId w:val="0"/>
  </w:num>
  <w:num w:numId="2">
    <w:abstractNumId w:val="1"/>
    <w:lvlOverride w:ilvl="0">
      <w:lvl w:ilvl="0" w:tplc="21D2BC4C">
        <w:start w:val="1"/>
        <w:numFmt w:val="bullet"/>
        <w:lvlText w:val="•"/>
        <w:lvlJc w:val="left"/>
        <w:pPr>
          <w:ind w:left="26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4420F3DE">
        <w:start w:val="1"/>
        <w:numFmt w:val="bullet"/>
        <w:lvlText w:val="•"/>
        <w:lvlJc w:val="left"/>
        <w:pPr>
          <w:ind w:left="50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1330688E">
        <w:start w:val="1"/>
        <w:numFmt w:val="bullet"/>
        <w:lvlText w:val="•"/>
        <w:lvlJc w:val="left"/>
        <w:pPr>
          <w:ind w:left="74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6C4050C4">
        <w:start w:val="1"/>
        <w:numFmt w:val="bullet"/>
        <w:lvlText w:val="•"/>
        <w:lvlJc w:val="left"/>
        <w:pPr>
          <w:ind w:left="982" w:hanging="2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E7ECE1E0">
        <w:start w:val="1"/>
        <w:numFmt w:val="bullet"/>
        <w:lvlText w:val="•"/>
        <w:lvlJc w:val="left"/>
        <w:pPr>
          <w:ind w:left="1222" w:hanging="2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D2E1CC0">
        <w:start w:val="1"/>
        <w:numFmt w:val="bullet"/>
        <w:lvlText w:val="•"/>
        <w:lvlJc w:val="left"/>
        <w:pPr>
          <w:ind w:left="1462" w:hanging="2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34EA43E4">
        <w:start w:val="1"/>
        <w:numFmt w:val="bullet"/>
        <w:lvlText w:val="•"/>
        <w:lvlJc w:val="left"/>
        <w:pPr>
          <w:ind w:left="1702" w:hanging="2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09B85432">
        <w:start w:val="1"/>
        <w:numFmt w:val="bullet"/>
        <w:lvlText w:val="•"/>
        <w:lvlJc w:val="left"/>
        <w:pPr>
          <w:ind w:left="1942" w:hanging="2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95487736">
        <w:start w:val="1"/>
        <w:numFmt w:val="bullet"/>
        <w:lvlText w:val="•"/>
        <w:lvlJc w:val="left"/>
        <w:pPr>
          <w:ind w:left="2182" w:hanging="2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AA"/>
    <w:rsid w:val="001829AA"/>
    <w:rsid w:val="007F308D"/>
    <w:rsid w:val="009841E2"/>
    <w:rsid w:val="009918DF"/>
    <w:rsid w:val="00E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9CC48"/>
  <w14:defaultImageDpi w14:val="0"/>
  <w15:docId w15:val="{66E647C0-9781-4D2C-A9FC-AE78E395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30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BulletBig">
    <w:name w:val="Bullet Big"/>
    <w:rsid w:val="007F30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Mackenzie</dc:creator>
  <cp:keywords/>
  <cp:lastModifiedBy>Spencer, Mackenzie</cp:lastModifiedBy>
  <cp:revision>3</cp:revision>
  <cp:lastPrinted>2019-11-04T22:04:00Z</cp:lastPrinted>
  <dcterms:created xsi:type="dcterms:W3CDTF">2019-11-04T22:00:00Z</dcterms:created>
  <dcterms:modified xsi:type="dcterms:W3CDTF">2019-11-04T22:14:00Z</dcterms:modified>
</cp:coreProperties>
</file>